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黑体" w:cs="Times New Roman"/>
          <w:sz w:val="33"/>
          <w:szCs w:val="33"/>
        </w:rPr>
        <w:t>附件1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2019年度吉林省科协学会学术工作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pct10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先进集体名单</w:t>
      </w:r>
    </w:p>
    <w:p>
      <w:pPr>
        <w:spacing w:line="576" w:lineRule="exact"/>
        <w:rPr>
          <w:rFonts w:hint="default" w:ascii="Times New Roman" w:hAnsi="Times New Roman" w:eastAsia="仿宋_GB2312" w:cs="Times New Roman"/>
          <w:sz w:val="33"/>
          <w:szCs w:val="33"/>
        </w:rPr>
      </w:pP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吉林省地理学会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吉林省化学会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吉林省物理学会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吉林省生物化学与分子生物学会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吉林省地质学会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吉林省昆虫学会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吉林省土木建筑学会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吉林省电机工程学会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吉林省农业机械学会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吉林省石油学会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吉林省通信学会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吉林省兵工学会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吉林省遥感学会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吉林省信息技术应用协会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吉林省人工智能学会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吉林省分析测试技术学会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吉林省林学会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吉林省作物学会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吉林省土壤学会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吉林省特产学会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吉林省森林休憩保育研究会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吉林省医学会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吉林省药学会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吉林省中医药学会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吉林省中西医结合学会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吉林省抗癌协会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吉林省预防医学会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吉林省性学学会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吉林省组织修复与再生医学学会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吉林省健康管理学会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吉林市科学技术协会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延边州科学技术协会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白山市科学技术协会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吉林大学科学技术协会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东北师范大学科学技术协会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东北电力大学科学技术协会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吉林农业大学科学技术协会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长春理工大学科学技术协会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长春师范大学科学技术协会</w:t>
      </w:r>
    </w:p>
    <w:p>
      <w:pPr>
        <w:spacing w:line="576" w:lineRule="exact"/>
        <w:ind w:firstLine="660" w:firstLineChars="200"/>
        <w:rPr>
          <w:rFonts w:hint="default" w:ascii="Times New Roman" w:hAnsi="Times New Roman" w:eastAsia="仿宋_GB2312" w:cs="Times New Roman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  <w:lang w:val="en-US" w:eastAsia="zh-CN"/>
        </w:rPr>
        <w:t>长春中医药大学科学技术协会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D577B"/>
    <w:rsid w:val="1BA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2020-04-10T06:29:00Z</dcterms:created>
  <dc:creator>pc2</dc:creator>
  <cp:lastModifiedBy>pc2</cp:lastModifiedBy>
  <dcterms:modified xsi:type="dcterms:W3CDTF">2020-04-10T06:29:40Z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